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851"/>
        <w:gridCol w:w="2268"/>
        <w:gridCol w:w="283"/>
        <w:gridCol w:w="1895"/>
        <w:gridCol w:w="1537"/>
        <w:gridCol w:w="1040"/>
        <w:gridCol w:w="2082"/>
        <w:gridCol w:w="924"/>
      </w:tblGrid>
      <w:tr w:rsidR="00F41B65" w:rsidRPr="00F41B65" w:rsidTr="00F41B65">
        <w:trPr>
          <w:trHeight w:val="255"/>
        </w:trPr>
        <w:tc>
          <w:tcPr>
            <w:tcW w:w="851"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Level</w:t>
            </w:r>
          </w:p>
        </w:tc>
        <w:tc>
          <w:tcPr>
            <w:tcW w:w="2268"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3432" w:type="dxa"/>
            <w:gridSpan w:val="2"/>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Kabupaten Musi Banyu Asin </w:t>
            </w:r>
          </w:p>
        </w:tc>
        <w:tc>
          <w:tcPr>
            <w:tcW w:w="1040"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2082" w:type="dxa"/>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924"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119" w:type="dxa"/>
            <w:gridSpan w:val="2"/>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Komponen</w:t>
            </w:r>
          </w:p>
        </w:tc>
        <w:tc>
          <w:tcPr>
            <w:tcW w:w="283" w:type="dxa"/>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3432" w:type="dxa"/>
            <w:gridSpan w:val="2"/>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E. Kapasitas masyarakat Bisnis</w:t>
            </w:r>
          </w:p>
        </w:tc>
        <w:tc>
          <w:tcPr>
            <w:tcW w:w="1040"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2082" w:type="dxa"/>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924"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851"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2268"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283" w:type="dxa"/>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895"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7"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040"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2082" w:type="dxa"/>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924"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402" w:type="dxa"/>
            <w:gridSpan w:val="3"/>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Isu dalam PGA REDD+</w:t>
            </w:r>
          </w:p>
        </w:tc>
        <w:tc>
          <w:tcPr>
            <w:tcW w:w="6554" w:type="dxa"/>
            <w:gridSpan w:val="4"/>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I. Perencanaan Kehutanan dan Tata Ruang </w:t>
            </w:r>
          </w:p>
        </w:tc>
        <w:tc>
          <w:tcPr>
            <w:tcW w:w="924" w:type="dxa"/>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600"/>
        </w:trPr>
        <w:tc>
          <w:tcPr>
            <w:tcW w:w="3119" w:type="dxa"/>
            <w:gridSpan w:val="2"/>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283"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F41B65" w:rsidRPr="00F41B65" w:rsidTr="00F41B65">
        <w:trPr>
          <w:trHeight w:val="270"/>
        </w:trPr>
        <w:tc>
          <w:tcPr>
            <w:tcW w:w="3119" w:type="dxa"/>
            <w:gridSpan w:val="2"/>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F41B65">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ook w:val="04A0"/>
      </w:tblPr>
      <w:tblGrid>
        <w:gridCol w:w="749"/>
        <w:gridCol w:w="1425"/>
        <w:gridCol w:w="1529"/>
        <w:gridCol w:w="1137"/>
        <w:gridCol w:w="1681"/>
        <w:gridCol w:w="1126"/>
        <w:gridCol w:w="1858"/>
        <w:gridCol w:w="1380"/>
      </w:tblGrid>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1020"/>
        </w:trPr>
        <w:tc>
          <w:tcPr>
            <w:tcW w:w="745"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EIa1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Kehutanan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Wakil dari perusahan di bidang kehutanan hadir dalam pertemuan jika diundang oleh pemerintah atau DPRD</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1275"/>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PU</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Informan tidak berkomentar dan tidak memberikan jawaban terhadap pertanyaan ini karena ini bukan bidang mereka. Ini topoksi Dinas Kehutanan.</w:t>
            </w:r>
          </w:p>
        </w:tc>
        <w:tc>
          <w:tcPr>
            <w:tcW w:w="1382"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asosiasia pengusaha yang bisa diwawancarai</w:t>
            </w:r>
          </w:p>
        </w:tc>
      </w:tr>
      <w:tr w:rsidR="00F41B65" w:rsidRPr="00F41B65" w:rsidTr="00F41B65">
        <w:trPr>
          <w:trHeight w:val="1275"/>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EIa2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Materi yang disampaikan dalam pertemuan pembahasan perencanaan kehutanan</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Kehutanan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 mepresentasikan dan menjelaskan aspek bisnis mereka dengan perhitungan cost untung rugi, dan kurang memperhatikan aspek pelibatan masyarakat.</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2</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PU</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komentar/jawaban informan</w:t>
            </w:r>
          </w:p>
        </w:tc>
        <w:tc>
          <w:tcPr>
            <w:tcW w:w="1382"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600"/>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F41B65">
              <w:rPr>
                <w:rFonts w:ascii="Times New Roman" w:eastAsia="Times New Roman" w:hAnsi="Times New Roman" w:cs="Times New Roman"/>
                <w:b/>
                <w:bCs/>
                <w:color w:val="000000"/>
                <w:sz w:val="20"/>
                <w:szCs w:val="20"/>
                <w:lang w:eastAsia="id-ID"/>
              </w:rPr>
              <w:br/>
              <w:t xml:space="preserve">       perencanaan wilayah dan kehutanan</w:t>
            </w:r>
            <w:r w:rsidRPr="00F41B65">
              <w:rPr>
                <w:rFonts w:ascii="Times New Roman" w:eastAsia="Times New Roman" w:hAnsi="Times New Roman" w:cs="Times New Roman"/>
                <w:b/>
                <w:bCs/>
                <w:color w:val="000000"/>
                <w:sz w:val="20"/>
                <w:szCs w:val="20"/>
                <w:lang w:eastAsia="id-ID"/>
              </w:rPr>
              <w:br/>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Asosiasi Pengusaha (Hutan, Sawit, Tambang)</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2040"/>
        </w:trPr>
        <w:tc>
          <w:tcPr>
            <w:tcW w:w="745" w:type="dxa"/>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EIb1</w:t>
            </w:r>
          </w:p>
        </w:tc>
        <w:tc>
          <w:tcPr>
            <w:tcW w:w="1418" w:type="dxa"/>
            <w:tcBorders>
              <w:top w:val="nil"/>
              <w:left w:val="nil"/>
              <w:bottom w:val="nil"/>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asosiasia pengusaha yang bisa diwawancarai</w:t>
            </w:r>
          </w:p>
        </w:tc>
      </w:tr>
      <w:tr w:rsidR="00F41B65" w:rsidRPr="00F41B65" w:rsidTr="00F41B65">
        <w:trPr>
          <w:trHeight w:val="1275"/>
        </w:trPr>
        <w:tc>
          <w:tcPr>
            <w:tcW w:w="745" w:type="dxa"/>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EIb2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300"/>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Asosiasi Pengusaha (Hutan, Sawit, Tambang)</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1020"/>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EIc1</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Prosedur penyampaian hasil atau proses partisipasi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Prosedur penyampaian hasil atau proses partisipasi sudah memadai?</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asosiasia pengusaha yang bisa diwawancarai</w:t>
            </w:r>
          </w:p>
        </w:tc>
      </w:tr>
      <w:tr w:rsidR="00F41B65" w:rsidRPr="00F41B65" w:rsidTr="00F41B65">
        <w:trPr>
          <w:trHeight w:val="76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EIc2</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Isi laporan hasil atau proses partisipasi</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1020"/>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EIc3</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Forum penyampaian hasil atau proses partisipasi</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Forum penyampaian hasil atau proses partisipasi sudah memada i?</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1020"/>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EIc4</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Penetapan peserta forum penyampaian hasil atau proses partisipasi</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Apakah Penetapan peserta forum penyampaian hasil atau proses partisipasi </w:t>
            </w:r>
            <w:r w:rsidRPr="00F41B65">
              <w:rPr>
                <w:rFonts w:ascii="Times New Roman" w:eastAsia="Times New Roman" w:hAnsi="Times New Roman" w:cs="Times New Roman"/>
                <w:color w:val="000000"/>
                <w:sz w:val="20"/>
                <w:szCs w:val="20"/>
                <w:lang w:eastAsia="id-ID"/>
              </w:rPr>
              <w:lastRenderedPageBreak/>
              <w:t>sudah memadai ?</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Asosiasi Pengusaha</w:t>
            </w:r>
          </w:p>
        </w:tc>
        <w:tc>
          <w:tcPr>
            <w:tcW w:w="6053" w:type="dxa"/>
            <w:gridSpan w:val="4"/>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1020"/>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EIc5</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Mekanisme penyampaian masukan dari peserta forum</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Mekanisme penyampaian masukan dari peserta forum sudah memadai ?</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694" w:type="dxa"/>
            <w:gridSpan w:val="3"/>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Isu dalam PGA REDD+</w:t>
            </w: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 Dokumen peraturan perusahaan yang mengatur pelaksanaan PADIATAPA</w:t>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noWrap/>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Pelaksana PADIATAPA(Perusahaan: Hutan, Sawit, Tambang; LSM)</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765"/>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EIIa1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Mekanisme pengumpulan data</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Mekanisme pengumpulan data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Disetiap perusahaan ada AMDAL sebelum pembukaan persetujuan perizinan</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4</w:t>
            </w:r>
          </w:p>
        </w:tc>
      </w:tr>
      <w:tr w:rsidR="00F41B65" w:rsidRPr="00F41B65" w:rsidTr="00F41B65">
        <w:trPr>
          <w:trHeight w:val="153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Menurut informan mekanisme pengumpulan data untuk persetujuan pelaksanaan informasi awal tanpa paksaan sudah sangat baik. Perusahaan mempunyai mekanisme sendiri tentang pengumpulan data.</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5</w:t>
            </w:r>
          </w:p>
        </w:tc>
      </w:tr>
      <w:tr w:rsidR="00F41B65" w:rsidRPr="00F41B65" w:rsidTr="00F41B65">
        <w:trPr>
          <w:trHeight w:val="765"/>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EIIa2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Kelengkapan materi untuk permintaan persetujuan</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Kelengkapan materi untuk permintaan persetujuan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Dalam proses perizinan hasil studi tentang AMDAL menjadi syarat perizinan, materi Amdal memadai</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4</w:t>
            </w:r>
          </w:p>
        </w:tc>
      </w:tr>
      <w:tr w:rsidR="00F41B65" w:rsidRPr="00F41B65" w:rsidTr="00F41B65">
        <w:trPr>
          <w:trHeight w:val="1275"/>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Informan menjelaskan bahwa materi untuk permintaan persetujuan cukup memadai. Ada aturan dalam perusahaan tentang pesetujuan materi</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EIIa3</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Mekanisme penetapan fasilitator </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Mekanisme penetapan fasilitator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Amdal dilakukan oleh tim ahli dan fasilitator yang mumpuni</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4</w:t>
            </w:r>
          </w:p>
        </w:tc>
      </w:tr>
      <w:tr w:rsidR="00F41B65" w:rsidRPr="00F41B65" w:rsidTr="00F41B65">
        <w:trPr>
          <w:trHeight w:val="102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Mekanisme peneteapan fasilitator di perusahaan sudah cukup memadai menurut informan. </w:t>
            </w:r>
            <w:r w:rsidRPr="00F41B65">
              <w:rPr>
                <w:rFonts w:ascii="Times New Roman" w:eastAsia="Times New Roman" w:hAnsi="Times New Roman" w:cs="Times New Roman"/>
                <w:color w:val="000000"/>
                <w:sz w:val="20"/>
                <w:szCs w:val="20"/>
                <w:lang w:eastAsia="id-ID"/>
              </w:rPr>
              <w:lastRenderedPageBreak/>
              <w:t>Ada aturan untuk menetapkan fasilitator di perusahaan.</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3</w:t>
            </w:r>
          </w:p>
        </w:tc>
      </w:tr>
      <w:tr w:rsidR="00F41B65" w:rsidRPr="00F41B65" w:rsidTr="00F41B65">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EIIa4</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Proses permintaan persetujuan dari masyarakat</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Proses permintaan persetu-juan dari masyarakat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Ada proses sosialisasi ke masyarakat dan instansi </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102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Untuk proses permintaan persetujuan dari masyarakat, perusahaan punya cara tertentu yang ditetapkan aturan perusahaan</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EIIa5</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Mekanisme pengaduan dalam kerangka PADIATAPA</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Mekanisme pengaduan dalam kerangka PADIATAPA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Mekanisme pengaduan dalam rangka PADIATAPA kurang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2</w:t>
            </w:r>
          </w:p>
        </w:tc>
      </w:tr>
      <w:tr w:rsidR="00F41B65" w:rsidRPr="00F41B65" w:rsidTr="00F41B65">
        <w:trPr>
          <w:trHeight w:val="1275"/>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Mekanisme pengaduan cukup memadai, maksudnya semua complain dari pihak tetentu ditangani langsung dan diupayakan jalan keluarnya</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1020"/>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EIIa6</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Monitoring pelaksanaan permintaan persetujuan</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Monitoring pelaksanaan permintaan persetujuan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Bukti ada monitoring pelaksanan permintaan persetujuan adalah adanya pengaduan dari masyarakat hasil dari monitoring mereka</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2295"/>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Informan tidak memberikan jawaban tentang monitoring, karena biasanya yang melakukan monitoring tentang kemajuan pesetujuan adalah Pemerintah. Perusahaan memberikan akses pada memerintah untuk memonitoring perusahaan.  Informan tidak jelas dengan maksud monitoring dalam penelitan ini. </w:t>
            </w:r>
          </w:p>
        </w:tc>
        <w:tc>
          <w:tcPr>
            <w:tcW w:w="1382" w:type="dxa"/>
            <w:tcBorders>
              <w:top w:val="nil"/>
              <w:left w:val="nil"/>
              <w:bottom w:val="single" w:sz="4" w:space="0" w:color="auto"/>
              <w:right w:val="single" w:sz="4" w:space="0" w:color="auto"/>
            </w:tcBorders>
            <w:shd w:val="clear" w:color="000000" w:fill="FFFF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1275"/>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EIIa7</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Mekanisme tindak lanjut hasil PADIATAPA</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Mekanisme tindak lanjut hasil PADIATAPA sudah memadai?</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LSM</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Mekanisme tindak lanjut hasil PADIATAPA cukup memadai dengan buktinya ada proses perundingan jika ada pihak yang tidak puas</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765"/>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Mekanisme tindak lanjut cukup memadai karena laporan perusahaan dibuat pertriwulan. </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3</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Laporan keuangan Perusahaan (Hutan, Sawit, Tambang) </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172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EIIb1</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Tidaka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694" w:type="dxa"/>
            <w:gridSpan w:val="3"/>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Isu dalam PGA REDD+</w:t>
            </w: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 Mekanisme penetapan perwakilan bisnis dalam lembaga multipihak</w:t>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Pengurus-isu keterwakilan gender </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127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EIIIa1</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1683"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3243" w:type="dxa"/>
            <w:gridSpan w:val="2"/>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w:t>
            </w:r>
          </w:p>
        </w:tc>
      </w:tr>
      <w:tr w:rsidR="00F41B65" w:rsidRPr="00F41B65" w:rsidTr="00F41B65">
        <w:trPr>
          <w:trHeight w:val="76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EIIIa2</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Mekanisme pemilihan wakil sudah memadai?</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1683"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3243" w:type="dxa"/>
            <w:gridSpan w:val="2"/>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76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EIIIa3</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Forum pemilihan wakil  dalam lembaga multipihak sudah memadai?</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1683"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3243" w:type="dxa"/>
            <w:gridSpan w:val="2"/>
            <w:vMerge/>
            <w:tcBorders>
              <w:top w:val="nil"/>
              <w:left w:val="nil"/>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694" w:type="dxa"/>
            <w:gridSpan w:val="3"/>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Isu dalam PGA REDD+</w:t>
            </w: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lastRenderedPageBreak/>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Lembaga Ekolabel Indonesia</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76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EIVa1</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Jumlah perusahaan yang menja-lankan prinsip-prinsip SFM</w:t>
            </w:r>
          </w:p>
        </w:tc>
        <w:tc>
          <w:tcPr>
            <w:tcW w:w="1531"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138"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683"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694" w:type="dxa"/>
            <w:gridSpan w:val="3"/>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Isu dalam PGA REDD+</w:t>
            </w: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8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F41B65" w:rsidRPr="00F41B65" w:rsidTr="00F41B65">
        <w:trPr>
          <w:trHeight w:val="28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Pelaksana PADIATAPA(Perusahaan: Hutan, Sawit, Tambang; LSM)</w:t>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1530"/>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EVa1</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Aturan Tertulis</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Aturan dalam bentuk Tertulis?</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Informan tidak jelas dengan maksud aturan tertulis dalam pertanyaan ini.  Aturan pemerintah sudah jelas tentang hutan konservasi dan perusahaan tunduk dengan aturan pemerintah. </w:t>
            </w:r>
          </w:p>
        </w:tc>
        <w:tc>
          <w:tcPr>
            <w:tcW w:w="1382" w:type="dxa"/>
            <w:tcBorders>
              <w:top w:val="nil"/>
              <w:left w:val="nil"/>
              <w:bottom w:val="single" w:sz="4" w:space="0" w:color="auto"/>
              <w:right w:val="single" w:sz="4" w:space="0" w:color="auto"/>
            </w:tcBorders>
            <w:shd w:val="clear" w:color="000000" w:fill="FFFF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382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EVa2</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Aturan pemerintah yang ada disampaikan dan sosialisasikan kemasyarakat yang masuk areal perusahaan. Selain itu kebiasaan dimasyarakat disekitar areal perusahaan yang sudah berlaku juga harus diperhatikan oleh perusahaan.  Hal ini sangat kondisional sesuai dengan kondisi yang ada.  Misalnya, di areal peruasahaan mayarakat yang masuk tidak boleh menghidupkan api karena akan berbahaya,  tanda tidak boleh menghidupkan api dipasang. Informan tidak mengerti </w:t>
            </w:r>
            <w:r w:rsidRPr="00F41B65">
              <w:rPr>
                <w:rFonts w:ascii="Times New Roman" w:eastAsia="Times New Roman" w:hAnsi="Times New Roman" w:cs="Times New Roman"/>
                <w:color w:val="000000"/>
                <w:sz w:val="20"/>
                <w:szCs w:val="20"/>
                <w:lang w:eastAsia="id-ID"/>
              </w:rPr>
              <w:lastRenderedPageBreak/>
              <w:t>dengan jelas arah pertanyaan ini.</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2</w:t>
            </w:r>
          </w:p>
        </w:tc>
      </w:tr>
      <w:tr w:rsidR="00F41B65" w:rsidRPr="00F41B65" w:rsidTr="00F41B65">
        <w:trPr>
          <w:trHeight w:val="2040"/>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lastRenderedPageBreak/>
              <w:t>EVa3</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Bentuk sanksi terhadap staf yang melanggar aturan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Untuk staf yang melanggar aturan dalam kegiatan pemanfaatan hutan sangat jelas sanksinya, nulai dapat teguran, peringatan bahkan jika menjalankan bisnis lain maka sanksinya berat- (bisa pemecatan).  Perusahaan juga tunduk dengan UU ketenagakerjaan.</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5</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64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F41B65">
              <w:rPr>
                <w:rFonts w:ascii="Times New Roman" w:eastAsia="Times New Roman" w:hAnsi="Times New Roman" w:cs="Times New Roman"/>
                <w:b/>
                <w:bCs/>
                <w:color w:val="000000"/>
                <w:sz w:val="20"/>
                <w:szCs w:val="20"/>
                <w:lang w:eastAsia="id-ID"/>
              </w:rPr>
              <w:br/>
              <w:t xml:space="preserve">  baik di lokasi assesmen </w:t>
            </w: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Perusahaan (Biro Hukum)</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1785"/>
        </w:trPr>
        <w:tc>
          <w:tcPr>
            <w:tcW w:w="745" w:type="dxa"/>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EVb1</w:t>
            </w:r>
          </w:p>
        </w:tc>
        <w:tc>
          <w:tcPr>
            <w:tcW w:w="141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3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sz w:val="20"/>
                <w:szCs w:val="20"/>
                <w:lang w:eastAsia="id-ID"/>
              </w:rPr>
            </w:pPr>
            <w:r w:rsidRPr="00F41B65">
              <w:rPr>
                <w:rFonts w:ascii="Times New Roman" w:eastAsia="Times New Roman" w:hAnsi="Times New Roman" w:cs="Times New Roman"/>
                <w:sz w:val="20"/>
                <w:szCs w:val="20"/>
                <w:lang w:eastAsia="id-ID"/>
              </w:rPr>
              <w:t>menurut infor,man sdh sngt mmdai krn mmiliki sngsi untuk setiap  pegawai</w:t>
            </w:r>
          </w:p>
        </w:tc>
        <w:tc>
          <w:tcPr>
            <w:tcW w:w="1382"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sz w:val="20"/>
                <w:szCs w:val="20"/>
                <w:lang w:eastAsia="id-ID"/>
              </w:rPr>
            </w:pPr>
            <w:r w:rsidRPr="00F41B65">
              <w:rPr>
                <w:rFonts w:ascii="Times New Roman" w:eastAsia="Times New Roman" w:hAnsi="Times New Roman" w:cs="Times New Roman"/>
                <w:sz w:val="20"/>
                <w:szCs w:val="20"/>
                <w:lang w:eastAsia="id-ID"/>
              </w:rPr>
              <w:t>3</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3694" w:type="dxa"/>
            <w:gridSpan w:val="3"/>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Isu dalam PGA REDD+</w:t>
            </w: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F41B65" w:rsidRPr="00F41B65" w:rsidTr="00F41B65">
        <w:trPr>
          <w:trHeight w:val="300"/>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Wawancara - 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5809" w:type="dxa"/>
            <w:gridSpan w:val="4"/>
            <w:tcBorders>
              <w:top w:val="nil"/>
              <w:left w:val="nil"/>
              <w:bottom w:val="nil"/>
              <w:right w:val="nil"/>
            </w:tcBorders>
            <w:shd w:val="clear" w:color="auto" w:fill="auto"/>
            <w:noWrap/>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Aturan yang dimiliki Satgas REDD+ dalam melibatkan para pihak</w:t>
            </w:r>
            <w:r w:rsidRPr="00F41B65">
              <w:rPr>
                <w:rFonts w:ascii="Times New Roman" w:eastAsia="Times New Roman" w:hAnsi="Times New Roman" w:cs="Times New Roman"/>
                <w:b/>
                <w:bCs/>
                <w:color w:val="000000"/>
                <w:sz w:val="20"/>
                <w:szCs w:val="20"/>
                <w:lang w:eastAsia="id-ID"/>
              </w:rPr>
              <w:br/>
            </w:r>
            <w:r w:rsidRPr="00F41B65">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lastRenderedPageBreak/>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EVIa1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38" w:type="dxa"/>
            <w:tcBorders>
              <w:top w:val="nil"/>
              <w:left w:val="nil"/>
              <w:bottom w:val="single" w:sz="4" w:space="0" w:color="auto"/>
              <w:right w:val="single" w:sz="4" w:space="0" w:color="auto"/>
            </w:tcBorders>
            <w:shd w:val="clear" w:color="000000" w:fill="F2DDDC"/>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Satgas REDD+</w:t>
            </w:r>
          </w:p>
        </w:tc>
        <w:tc>
          <w:tcPr>
            <w:tcW w:w="6053" w:type="dxa"/>
            <w:gridSpan w:val="4"/>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Tidak ada </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Informan tidak mengetahui tentang REDD+, </w:t>
            </w:r>
          </w:p>
        </w:tc>
        <w:tc>
          <w:tcPr>
            <w:tcW w:w="1382" w:type="dxa"/>
            <w:tcBorders>
              <w:top w:val="nil"/>
              <w:left w:val="nil"/>
              <w:bottom w:val="single" w:sz="4" w:space="0" w:color="auto"/>
              <w:right w:val="single" w:sz="4" w:space="0" w:color="auto"/>
            </w:tcBorders>
            <w:shd w:val="clear" w:color="000000" w:fill="FFFF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EVIa2</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Aturan yang dimiliki Satgas REDD+ dalam melibatkan para pihak</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138" w:type="dxa"/>
            <w:tcBorders>
              <w:top w:val="nil"/>
              <w:left w:val="nil"/>
              <w:bottom w:val="single" w:sz="4" w:space="0" w:color="auto"/>
              <w:right w:val="single" w:sz="4" w:space="0" w:color="auto"/>
            </w:tcBorders>
            <w:shd w:val="clear" w:color="000000" w:fill="F2DDDC"/>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Satgas REDD+</w:t>
            </w:r>
          </w:p>
        </w:tc>
        <w:tc>
          <w:tcPr>
            <w:tcW w:w="6053" w:type="dxa"/>
            <w:gridSpan w:val="4"/>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Tidak ada </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6053" w:type="dxa"/>
            <w:gridSpan w:val="4"/>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w:t>
            </w:r>
          </w:p>
        </w:tc>
      </w:tr>
      <w:tr w:rsidR="00F41B65" w:rsidRPr="00F41B65" w:rsidTr="00F41B65">
        <w:trPr>
          <w:trHeight w:val="510"/>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xml:space="preserve">Informan tidak mengetahui tentang REDD+, </w:t>
            </w:r>
          </w:p>
        </w:tc>
        <w:tc>
          <w:tcPr>
            <w:tcW w:w="1382" w:type="dxa"/>
            <w:tcBorders>
              <w:top w:val="nil"/>
              <w:left w:val="nil"/>
              <w:bottom w:val="single" w:sz="4" w:space="0" w:color="auto"/>
              <w:right w:val="single" w:sz="4" w:space="0" w:color="auto"/>
            </w:tcBorders>
            <w:shd w:val="clear" w:color="000000" w:fill="FFFF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r w:rsidR="00F41B65" w:rsidRPr="00F41B65" w:rsidTr="00F41B65">
        <w:trPr>
          <w:trHeight w:val="255"/>
        </w:trPr>
        <w:tc>
          <w:tcPr>
            <w:tcW w:w="745"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41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53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683"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127"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c>
          <w:tcPr>
            <w:tcW w:w="1861" w:type="dxa"/>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p>
        </w:tc>
      </w:tr>
      <w:tr w:rsidR="00F41B65" w:rsidRPr="00F41B65" w:rsidTr="00F41B65">
        <w:trPr>
          <w:trHeight w:val="25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Indikator</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7191" w:type="dxa"/>
            <w:gridSpan w:val="5"/>
            <w:tcBorders>
              <w:top w:val="nil"/>
              <w:left w:val="nil"/>
              <w:bottom w:val="nil"/>
              <w:right w:val="nil"/>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b. Tingkat komitmen kalangan bisnis mendukung pelaksanaan REDD+</w:t>
            </w:r>
          </w:p>
        </w:tc>
      </w:tr>
      <w:tr w:rsidR="00F41B65" w:rsidRPr="00F41B65" w:rsidTr="00F41B65">
        <w:trPr>
          <w:trHeight w:val="315"/>
        </w:trPr>
        <w:tc>
          <w:tcPr>
            <w:tcW w:w="2163" w:type="dxa"/>
            <w:gridSpan w:val="2"/>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informasi</w:t>
            </w:r>
          </w:p>
        </w:tc>
        <w:tc>
          <w:tcPr>
            <w:tcW w:w="1531" w:type="dxa"/>
            <w:tcBorders>
              <w:top w:val="nil"/>
              <w:left w:val="nil"/>
              <w:bottom w:val="nil"/>
              <w:right w:val="nil"/>
            </w:tcBorders>
            <w:shd w:val="clear" w:color="auto" w:fill="auto"/>
            <w:noWrap/>
            <w:vAlign w:val="center"/>
            <w:hideMark/>
          </w:tcPr>
          <w:p w:rsidR="00F41B65" w:rsidRPr="00F41B65" w:rsidRDefault="00F41B65" w:rsidP="00F41B65">
            <w:pPr>
              <w:spacing w:after="0" w:line="240" w:lineRule="auto"/>
              <w:rPr>
                <w:rFonts w:ascii="Times New Roman" w:eastAsia="Times New Roman" w:hAnsi="Times New Roman" w:cs="Times New Roman"/>
                <w:b/>
                <w:bCs/>
                <w:color w:val="000000"/>
                <w:sz w:val="20"/>
                <w:szCs w:val="20"/>
                <w:lang w:eastAsia="id-ID"/>
              </w:rPr>
            </w:pPr>
          </w:p>
        </w:tc>
        <w:tc>
          <w:tcPr>
            <w:tcW w:w="7191" w:type="dxa"/>
            <w:gridSpan w:val="5"/>
            <w:tcBorders>
              <w:top w:val="nil"/>
              <w:left w:val="nil"/>
              <w:bottom w:val="single" w:sz="4" w:space="0" w:color="auto"/>
              <w:right w:val="nil"/>
            </w:tcBorders>
            <w:shd w:val="clear" w:color="auto" w:fill="auto"/>
            <w:noWrap/>
            <w:vAlign w:val="center"/>
            <w:hideMark/>
          </w:tcPr>
          <w:p w:rsidR="00F41B65" w:rsidRPr="00F41B65" w:rsidRDefault="00F41B65" w:rsidP="00F41B65">
            <w:pPr>
              <w:spacing w:after="240" w:line="240" w:lineRule="auto"/>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 Asosiasi Pengusaha, Perusahaan</w:t>
            </w:r>
          </w:p>
        </w:tc>
      </w:tr>
      <w:tr w:rsidR="00F41B65" w:rsidRPr="00F41B65" w:rsidTr="00F41B65">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Kode</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Panduan Analisis Dokumen</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Pertanyaan Wawancara</w:t>
            </w:r>
          </w:p>
        </w:tc>
        <w:tc>
          <w:tcPr>
            <w:tcW w:w="1138"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Sumber Data</w:t>
            </w:r>
          </w:p>
        </w:tc>
        <w:tc>
          <w:tcPr>
            <w:tcW w:w="1683"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Dokumen</w:t>
            </w:r>
          </w:p>
        </w:tc>
        <w:tc>
          <w:tcPr>
            <w:tcW w:w="1127"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Dokumen</w:t>
            </w:r>
          </w:p>
        </w:tc>
        <w:tc>
          <w:tcPr>
            <w:tcW w:w="1861"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jc w:val="center"/>
              <w:rPr>
                <w:rFonts w:ascii="Times New Roman" w:eastAsia="Times New Roman" w:hAnsi="Times New Roman" w:cs="Times New Roman"/>
                <w:b/>
                <w:bCs/>
                <w:color w:val="000000"/>
                <w:sz w:val="20"/>
                <w:szCs w:val="20"/>
                <w:lang w:eastAsia="id-ID"/>
              </w:rPr>
            </w:pPr>
            <w:r w:rsidRPr="00F41B65">
              <w:rPr>
                <w:rFonts w:ascii="Times New Roman" w:eastAsia="Times New Roman" w:hAnsi="Times New Roman" w:cs="Times New Roman"/>
                <w:b/>
                <w:bCs/>
                <w:color w:val="000000"/>
                <w:sz w:val="20"/>
                <w:szCs w:val="20"/>
                <w:lang w:eastAsia="id-ID"/>
              </w:rPr>
              <w:t>Kategori Data Wawancara</w:t>
            </w:r>
          </w:p>
        </w:tc>
      </w:tr>
      <w:tr w:rsidR="00F41B65" w:rsidRPr="00F41B65" w:rsidTr="00F41B65">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EVIb1</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38" w:type="dxa"/>
            <w:tcBorders>
              <w:top w:val="nil"/>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Asosiasi Pengusaha</w:t>
            </w:r>
          </w:p>
        </w:tc>
        <w:tc>
          <w:tcPr>
            <w:tcW w:w="1683"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asosisi pengusaha</w:t>
            </w:r>
          </w:p>
        </w:tc>
        <w:tc>
          <w:tcPr>
            <w:tcW w:w="1127" w:type="dxa"/>
            <w:tcBorders>
              <w:top w:val="nil"/>
              <w:left w:val="nil"/>
              <w:bottom w:val="single" w:sz="4" w:space="0" w:color="auto"/>
              <w:right w:val="single" w:sz="4" w:space="0" w:color="auto"/>
            </w:tcBorders>
            <w:shd w:val="clear" w:color="000000" w:fill="000000"/>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3243" w:type="dxa"/>
            <w:gridSpan w:val="2"/>
            <w:tcBorders>
              <w:top w:val="single" w:sz="4" w:space="0" w:color="auto"/>
              <w:left w:val="nil"/>
              <w:bottom w:val="single" w:sz="4" w:space="0" w:color="auto"/>
              <w:right w:val="single" w:sz="4" w:space="0" w:color="auto"/>
            </w:tcBorders>
            <w:shd w:val="clear" w:color="000000" w:fill="F2DDDC"/>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w:t>
            </w:r>
          </w:p>
        </w:tc>
      </w:tr>
      <w:tr w:rsidR="00F41B65" w:rsidRPr="00F41B65" w:rsidTr="00F41B65">
        <w:trPr>
          <w:trHeight w:val="255"/>
        </w:trPr>
        <w:tc>
          <w:tcPr>
            <w:tcW w:w="745"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418"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531" w:type="dxa"/>
            <w:vMerge/>
            <w:tcBorders>
              <w:top w:val="nil"/>
              <w:left w:val="single" w:sz="4" w:space="0" w:color="auto"/>
              <w:bottom w:val="single" w:sz="4" w:space="0" w:color="auto"/>
              <w:right w:val="single" w:sz="4" w:space="0" w:color="auto"/>
            </w:tcBorders>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p>
        </w:tc>
        <w:tc>
          <w:tcPr>
            <w:tcW w:w="1138" w:type="dxa"/>
            <w:tcBorders>
              <w:top w:val="nil"/>
              <w:left w:val="nil"/>
              <w:bottom w:val="single" w:sz="4" w:space="0" w:color="auto"/>
              <w:right w:val="single" w:sz="4" w:space="0" w:color="auto"/>
            </w:tcBorders>
            <w:shd w:val="clear" w:color="auto" w:fill="auto"/>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Perusahaan</w:t>
            </w:r>
          </w:p>
        </w:tc>
        <w:tc>
          <w:tcPr>
            <w:tcW w:w="1683" w:type="dxa"/>
            <w:tcBorders>
              <w:top w:val="nil"/>
              <w:left w:val="nil"/>
              <w:bottom w:val="single" w:sz="4" w:space="0" w:color="auto"/>
              <w:right w:val="single" w:sz="4" w:space="0" w:color="auto"/>
            </w:tcBorders>
            <w:shd w:val="clear" w:color="000000" w:fill="0000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Tidak ada dokumen</w:t>
            </w:r>
          </w:p>
        </w:tc>
        <w:tc>
          <w:tcPr>
            <w:tcW w:w="1127" w:type="dxa"/>
            <w:tcBorders>
              <w:top w:val="nil"/>
              <w:left w:val="nil"/>
              <w:bottom w:val="single" w:sz="4" w:space="0" w:color="auto"/>
              <w:right w:val="single" w:sz="4" w:space="0" w:color="auto"/>
            </w:tcBorders>
            <w:shd w:val="clear" w:color="000000" w:fill="0000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1</w:t>
            </w:r>
          </w:p>
        </w:tc>
        <w:tc>
          <w:tcPr>
            <w:tcW w:w="1861" w:type="dxa"/>
            <w:tcBorders>
              <w:top w:val="nil"/>
              <w:left w:val="nil"/>
              <w:bottom w:val="single" w:sz="4" w:space="0" w:color="auto"/>
              <w:right w:val="single" w:sz="4" w:space="0" w:color="auto"/>
            </w:tcBorders>
            <w:shd w:val="clear" w:color="000000" w:fill="FFFF00"/>
            <w:vAlign w:val="center"/>
            <w:hideMark/>
          </w:tcPr>
          <w:p w:rsidR="00F41B65" w:rsidRPr="00F41B65" w:rsidRDefault="00F41B65" w:rsidP="00F41B65">
            <w:pPr>
              <w:spacing w:after="0" w:line="240" w:lineRule="auto"/>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vAlign w:val="center"/>
            <w:hideMark/>
          </w:tcPr>
          <w:p w:rsidR="00F41B65" w:rsidRPr="00F41B65" w:rsidRDefault="00F41B65" w:rsidP="00F41B65">
            <w:pPr>
              <w:spacing w:after="0" w:line="240" w:lineRule="auto"/>
              <w:jc w:val="center"/>
              <w:rPr>
                <w:rFonts w:ascii="Times New Roman" w:eastAsia="Times New Roman" w:hAnsi="Times New Roman" w:cs="Times New Roman"/>
                <w:color w:val="000000"/>
                <w:sz w:val="20"/>
                <w:szCs w:val="20"/>
                <w:lang w:eastAsia="id-ID"/>
              </w:rPr>
            </w:pPr>
            <w:r w:rsidRPr="00F41B65">
              <w:rPr>
                <w:rFonts w:ascii="Times New Roman" w:eastAsia="Times New Roman" w:hAnsi="Times New Roman" w:cs="Times New Roman"/>
                <w:color w:val="000000"/>
                <w:sz w:val="20"/>
                <w:szCs w:val="20"/>
                <w:lang w:eastAsia="id-ID"/>
              </w:rPr>
              <w:t> </w:t>
            </w:r>
          </w:p>
        </w:tc>
      </w:tr>
    </w:tbl>
    <w:p w:rsidR="00F41B65" w:rsidRDefault="00F41B65"/>
    <w:sectPr w:rsidR="00F41B65"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4165D1"/>
    <w:rsid w:val="004570C7"/>
    <w:rsid w:val="004C5921"/>
    <w:rsid w:val="005D2D3D"/>
    <w:rsid w:val="006E5970"/>
    <w:rsid w:val="0092185B"/>
    <w:rsid w:val="009F3E98"/>
    <w:rsid w:val="00A91768"/>
    <w:rsid w:val="00BB5203"/>
    <w:rsid w:val="00D74DB4"/>
    <w:rsid w:val="00F41B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7592448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29875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1907</Words>
  <Characters>10873</Characters>
  <Application>Microsoft Office Word</Application>
  <DocSecurity>0</DocSecurity>
  <Lines>90</Lines>
  <Paragraphs>25</Paragraphs>
  <ScaleCrop>false</ScaleCrop>
  <Company/>
  <LinksUpToDate>false</LinksUpToDate>
  <CharactersWithSpaces>12755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2012-10-16T06:58:00Z</dcterms:modified>
</cp:coreProperties>
</file>